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05" w:rsidRDefault="00A40E05">
      <w:r w:rsidRPr="00E26E1D"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979622E" wp14:editId="40B87805">
            <wp:simplePos x="0" y="0"/>
            <wp:positionH relativeFrom="column">
              <wp:posOffset>2527200</wp:posOffset>
            </wp:positionH>
            <wp:positionV relativeFrom="paragraph">
              <wp:posOffset>288290</wp:posOffset>
            </wp:positionV>
            <wp:extent cx="760095" cy="837565"/>
            <wp:effectExtent l="0" t="0" r="0" b="635"/>
            <wp:wrapTight wrapText="bothSides">
              <wp:wrapPolygon edited="0">
                <wp:start x="7038" y="0"/>
                <wp:lineTo x="2165" y="3439"/>
                <wp:lineTo x="1083" y="4913"/>
                <wp:lineTo x="1083" y="11299"/>
                <wp:lineTo x="3248" y="15721"/>
                <wp:lineTo x="1083" y="18669"/>
                <wp:lineTo x="1083" y="21125"/>
                <wp:lineTo x="17323" y="21125"/>
                <wp:lineTo x="20030" y="20143"/>
                <wp:lineTo x="19489" y="18177"/>
                <wp:lineTo x="17865" y="15721"/>
                <wp:lineTo x="20571" y="10317"/>
                <wp:lineTo x="20571" y="5895"/>
                <wp:lineTo x="18947" y="3439"/>
                <wp:lineTo x="14075" y="0"/>
                <wp:lineTo x="7038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E05" w:rsidRDefault="00A40E05"/>
    <w:p w:rsidR="00A40E05" w:rsidRDefault="00A40E05"/>
    <w:p w:rsidR="00A40E05" w:rsidRDefault="00A40E05"/>
    <w:p w:rsidR="00A40E05" w:rsidRPr="00A40E05" w:rsidRDefault="00A40E05" w:rsidP="00A40E05">
      <w:pPr>
        <w:jc w:val="center"/>
        <w:rPr>
          <w:b/>
          <w:bCs/>
        </w:rPr>
      </w:pPr>
    </w:p>
    <w:p w:rsidR="00A40E05" w:rsidRPr="007A6E5A" w:rsidRDefault="00A40E05" w:rsidP="00A40E05">
      <w:pPr>
        <w:jc w:val="center"/>
        <w:rPr>
          <w:rFonts w:ascii="Georgia" w:hAnsi="Georgia"/>
          <w:b/>
          <w:bCs/>
        </w:rPr>
      </w:pPr>
      <w:r w:rsidRPr="007A6E5A">
        <w:rPr>
          <w:rFonts w:ascii="Georgia" w:hAnsi="Georgia"/>
          <w:b/>
          <w:bCs/>
        </w:rPr>
        <w:t>NATIONAL BANK FOR AGRICULTURE AND RURAL DEVELOPMENT</w:t>
      </w:r>
    </w:p>
    <w:p w:rsidR="00A40E05" w:rsidRPr="007A6E5A" w:rsidRDefault="00A40E05" w:rsidP="00A40E05">
      <w:pPr>
        <w:jc w:val="center"/>
        <w:rPr>
          <w:rFonts w:ascii="Georgia" w:hAnsi="Georgia"/>
          <w:b/>
          <w:bCs/>
        </w:rPr>
      </w:pPr>
      <w:r w:rsidRPr="007A6E5A">
        <w:rPr>
          <w:rFonts w:ascii="Georgia" w:hAnsi="Georgia"/>
          <w:b/>
          <w:bCs/>
        </w:rPr>
        <w:t>SYLLABUS FOR THE WRITTEN EXAMINATION FOR THE POST OF ASSISTANT MANAGERS IN GRADE 'A'</w:t>
      </w:r>
    </w:p>
    <w:p w:rsidR="00A40E05" w:rsidRPr="007A6E5A" w:rsidRDefault="00E03A50" w:rsidP="00A40E05">
      <w:pPr>
        <w:jc w:val="center"/>
        <w:rPr>
          <w:rFonts w:ascii="Georgia" w:hAnsi="Georgia"/>
          <w:b/>
          <w:bCs/>
          <w:u w:val="single"/>
        </w:rPr>
      </w:pPr>
      <w:r w:rsidRPr="007A6E5A">
        <w:rPr>
          <w:rFonts w:ascii="Georgia" w:hAnsi="Georgia"/>
          <w:b/>
          <w:bCs/>
          <w:u w:val="single"/>
        </w:rPr>
        <w:t>ECONOMICS</w:t>
      </w:r>
      <w:r w:rsidR="006E335C">
        <w:rPr>
          <w:rFonts w:ascii="Georgia" w:hAnsi="Georgia"/>
          <w:b/>
          <w:bCs/>
          <w:u w:val="single"/>
        </w:rPr>
        <w:t xml:space="preserve"> – AGRICULTURE ECONOMICS</w:t>
      </w:r>
    </w:p>
    <w:p w:rsidR="00A40E05" w:rsidRPr="007A6E5A" w:rsidRDefault="00A40E05" w:rsidP="00A40E05">
      <w:pPr>
        <w:jc w:val="center"/>
        <w:rPr>
          <w:rFonts w:ascii="Georgia" w:hAnsi="Georgia"/>
          <w:b/>
          <w:bCs/>
        </w:rPr>
      </w:pPr>
      <w:r w:rsidRPr="007A6E5A">
        <w:rPr>
          <w:rFonts w:ascii="Georgia" w:hAnsi="Georgia"/>
          <w:b/>
          <w:bCs/>
        </w:rPr>
        <w:t>(THE SYLLABUS IS ILLUSTRATIVE AND NOT EXHAUSTIVE)</w:t>
      </w:r>
    </w:p>
    <w:p w:rsidR="00A40E05" w:rsidRPr="007A6E5A" w:rsidRDefault="00A40E05" w:rsidP="00A40E05">
      <w:pPr>
        <w:jc w:val="both"/>
        <w:rPr>
          <w:rFonts w:ascii="Georgia" w:hAnsi="Georgia"/>
          <w:b/>
          <w:bCs/>
        </w:rPr>
      </w:pPr>
    </w:p>
    <w:p w:rsidR="00E03A50" w:rsidRPr="007A6E5A" w:rsidRDefault="00E03A50" w:rsidP="00A40E05">
      <w:pPr>
        <w:jc w:val="both"/>
        <w:rPr>
          <w:rFonts w:ascii="Georgia" w:hAnsi="Georgia"/>
          <w:b/>
          <w:bCs/>
          <w:u w:val="single"/>
        </w:rPr>
      </w:pPr>
      <w:r w:rsidRPr="007A6E5A">
        <w:rPr>
          <w:rFonts w:ascii="Georgia" w:hAnsi="Georgia"/>
          <w:b/>
          <w:bCs/>
          <w:u w:val="single"/>
        </w:rPr>
        <w:t>Secti</w:t>
      </w:r>
      <w:r w:rsidR="002F5BED">
        <w:rPr>
          <w:rFonts w:ascii="Georgia" w:hAnsi="Georgia"/>
          <w:b/>
          <w:bCs/>
          <w:u w:val="single"/>
        </w:rPr>
        <w:t xml:space="preserve">on </w:t>
      </w:r>
      <w:proofErr w:type="gramStart"/>
      <w:r w:rsidR="002F5BED">
        <w:rPr>
          <w:rFonts w:ascii="Georgia" w:hAnsi="Georgia"/>
          <w:b/>
          <w:bCs/>
          <w:u w:val="single"/>
        </w:rPr>
        <w:t>I :</w:t>
      </w:r>
      <w:proofErr w:type="gramEnd"/>
      <w:r w:rsidR="002F5BED">
        <w:rPr>
          <w:rFonts w:ascii="Georgia" w:hAnsi="Georgia"/>
          <w:b/>
          <w:bCs/>
          <w:u w:val="single"/>
        </w:rPr>
        <w:t xml:space="preserve"> Economics</w:t>
      </w:r>
    </w:p>
    <w:p w:rsidR="00E03A50" w:rsidRPr="007A6E5A" w:rsidRDefault="00E03A50" w:rsidP="00E03A5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 xml:space="preserve">Micro </w:t>
      </w:r>
      <w:proofErr w:type="gramStart"/>
      <w:r w:rsidRPr="007A6E5A">
        <w:rPr>
          <w:rFonts w:ascii="Georgia" w:hAnsi="Georgia"/>
        </w:rPr>
        <w:t>Economics :</w:t>
      </w:r>
      <w:proofErr w:type="gramEnd"/>
      <w:r w:rsidRPr="007A6E5A">
        <w:rPr>
          <w:rFonts w:ascii="Georgia" w:hAnsi="Georgia"/>
        </w:rPr>
        <w:t xml:space="preserve"> Theory of Consumer </w:t>
      </w:r>
      <w:proofErr w:type="spellStart"/>
      <w:r w:rsidRPr="007A6E5A">
        <w:rPr>
          <w:rFonts w:ascii="Georgia" w:hAnsi="Georgia"/>
        </w:rPr>
        <w:t>Behaviour</w:t>
      </w:r>
      <w:proofErr w:type="spellEnd"/>
      <w:r w:rsidRPr="007A6E5A">
        <w:rPr>
          <w:rFonts w:ascii="Georgia" w:hAnsi="Georgia"/>
        </w:rPr>
        <w:t>, Theory of Firm, Theory of Markets, Theory  of Distribution and General Equilibrium.</w:t>
      </w:r>
    </w:p>
    <w:p w:rsidR="00E03A50" w:rsidRPr="007A6E5A" w:rsidRDefault="00E03A50" w:rsidP="00E03A5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Macro Economics : National Inco</w:t>
      </w:r>
      <w:bookmarkStart w:id="0" w:name="_GoBack"/>
      <w:bookmarkEnd w:id="0"/>
      <w:r w:rsidRPr="007A6E5A">
        <w:rPr>
          <w:rFonts w:ascii="Georgia" w:hAnsi="Georgia"/>
        </w:rPr>
        <w:t>me Accounting, Macro Economic stabilization policies, Fiscal and Monetary Policies, - Classical, Keynesian and Monetarists, Rational Expectation and Supply side Economics, Public Finance – Theory of Taxation, Expenditure and Borrowing / Debt.</w:t>
      </w:r>
    </w:p>
    <w:p w:rsidR="00E03A50" w:rsidRPr="007A6E5A" w:rsidRDefault="00E03A50" w:rsidP="00E03A5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 xml:space="preserve">Economics of Development and Planning – Theory of Growth and Development, Regional Imbalances, Planning – Types, Models and Evaluation of Plans, Project Economics, and Economic and Financial sector reforms. </w:t>
      </w:r>
    </w:p>
    <w:p w:rsidR="00E03A50" w:rsidRPr="007A6E5A" w:rsidRDefault="00E03A50" w:rsidP="00E03A5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 xml:space="preserve">International Economics – </w:t>
      </w:r>
      <w:proofErr w:type="gramStart"/>
      <w:r w:rsidRPr="007A6E5A">
        <w:rPr>
          <w:rFonts w:ascii="Georgia" w:hAnsi="Georgia"/>
        </w:rPr>
        <w:t>Theories  of</w:t>
      </w:r>
      <w:proofErr w:type="gramEnd"/>
      <w:r w:rsidRPr="007A6E5A">
        <w:rPr>
          <w:rFonts w:ascii="Georgia" w:hAnsi="Georgia"/>
        </w:rPr>
        <w:t xml:space="preserve"> trade, Foreign Exchange Market, Balance of Payments, International Monetary System and WTO.</w:t>
      </w:r>
    </w:p>
    <w:p w:rsidR="00E03A50" w:rsidRPr="007A6E5A" w:rsidRDefault="00E03A50" w:rsidP="00E03A50">
      <w:pPr>
        <w:pStyle w:val="ListParagraph"/>
        <w:numPr>
          <w:ilvl w:val="0"/>
          <w:numId w:val="1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Money and Banking</w:t>
      </w:r>
    </w:p>
    <w:p w:rsidR="00FC57B5" w:rsidRPr="007A6E5A" w:rsidRDefault="00FC57B5" w:rsidP="00FF4A45">
      <w:pPr>
        <w:jc w:val="both"/>
        <w:rPr>
          <w:rFonts w:ascii="Georgia" w:hAnsi="Georgia"/>
          <w:b/>
          <w:bCs/>
          <w:u w:val="single"/>
        </w:rPr>
      </w:pPr>
      <w:r w:rsidRPr="007A6E5A">
        <w:rPr>
          <w:rFonts w:ascii="Georgia" w:hAnsi="Georgia"/>
          <w:b/>
          <w:bCs/>
          <w:u w:val="single"/>
        </w:rPr>
        <w:t xml:space="preserve">Section </w:t>
      </w:r>
      <w:proofErr w:type="gramStart"/>
      <w:r w:rsidRPr="007A6E5A">
        <w:rPr>
          <w:rFonts w:ascii="Georgia" w:hAnsi="Georgia"/>
          <w:b/>
          <w:bCs/>
          <w:u w:val="single"/>
        </w:rPr>
        <w:t>II :</w:t>
      </w:r>
      <w:proofErr w:type="gramEnd"/>
      <w:r w:rsidRPr="007A6E5A">
        <w:rPr>
          <w:rFonts w:ascii="Georgia" w:hAnsi="Georgia"/>
          <w:b/>
          <w:bCs/>
          <w:u w:val="single"/>
        </w:rPr>
        <w:t xml:space="preserve"> Agricu</w:t>
      </w:r>
      <w:r w:rsidR="002F5BED">
        <w:rPr>
          <w:rFonts w:ascii="Georgia" w:hAnsi="Georgia"/>
          <w:b/>
          <w:bCs/>
          <w:u w:val="single"/>
        </w:rPr>
        <w:t>ltural Economics</w:t>
      </w:r>
    </w:p>
    <w:p w:rsidR="00FC57B5" w:rsidRPr="007A6E5A" w:rsidRDefault="00FC57B5" w:rsidP="00FC57B5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Basic principles of Farm Management</w:t>
      </w:r>
    </w:p>
    <w:p w:rsidR="00FC57B5" w:rsidRPr="007A6E5A" w:rsidRDefault="00FC57B5" w:rsidP="00FC57B5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Role of Agriculture in Economic Development</w:t>
      </w:r>
    </w:p>
    <w:p w:rsidR="00FC57B5" w:rsidRPr="007A6E5A" w:rsidRDefault="00FC57B5" w:rsidP="00FC57B5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 xml:space="preserve">Factor Market – Land Market, </w:t>
      </w:r>
      <w:proofErr w:type="spellStart"/>
      <w:r w:rsidRPr="007A6E5A">
        <w:rPr>
          <w:rFonts w:ascii="Georgia" w:hAnsi="Georgia"/>
        </w:rPr>
        <w:t>Labour</w:t>
      </w:r>
      <w:proofErr w:type="spellEnd"/>
      <w:r w:rsidRPr="007A6E5A">
        <w:rPr>
          <w:rFonts w:ascii="Georgia" w:hAnsi="Georgia"/>
        </w:rPr>
        <w:t xml:space="preserve"> Market, including wages and capital Market</w:t>
      </w:r>
    </w:p>
    <w:p w:rsidR="00440E4D" w:rsidRPr="007A6E5A" w:rsidRDefault="00440E4D" w:rsidP="00FC57B5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Agricultural Marketing, Agricultural Prices and Terms of Trade</w:t>
      </w:r>
    </w:p>
    <w:p w:rsidR="00440E4D" w:rsidRPr="007A6E5A" w:rsidRDefault="00440E4D" w:rsidP="00FC57B5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Rural Credit Structure – Formal and Informal, Capital Formation in Agriculture</w:t>
      </w:r>
    </w:p>
    <w:p w:rsidR="00440E4D" w:rsidRPr="007A6E5A" w:rsidRDefault="00440E4D" w:rsidP="00FC57B5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 xml:space="preserve">Development </w:t>
      </w:r>
      <w:proofErr w:type="spellStart"/>
      <w:r w:rsidRPr="007A6E5A">
        <w:rPr>
          <w:rFonts w:ascii="Georgia" w:hAnsi="Georgia"/>
        </w:rPr>
        <w:t>Programmes</w:t>
      </w:r>
      <w:proofErr w:type="spellEnd"/>
      <w:r w:rsidRPr="007A6E5A">
        <w:rPr>
          <w:rFonts w:ascii="Georgia" w:hAnsi="Georgia"/>
        </w:rPr>
        <w:t xml:space="preserve"> including Poverty Alleviation and Rural Employment </w:t>
      </w:r>
    </w:p>
    <w:p w:rsidR="00440E4D" w:rsidRPr="007A6E5A" w:rsidRDefault="00440E4D" w:rsidP="00FC57B5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Agricultural Policy and planning</w:t>
      </w:r>
    </w:p>
    <w:p w:rsidR="00440E4D" w:rsidRPr="007A6E5A" w:rsidRDefault="00440E4D" w:rsidP="00440E4D">
      <w:pPr>
        <w:jc w:val="both"/>
        <w:rPr>
          <w:rFonts w:ascii="Georgia" w:hAnsi="Georgia"/>
          <w:b/>
          <w:bCs/>
          <w:u w:val="single"/>
        </w:rPr>
      </w:pPr>
      <w:r w:rsidRPr="007A6E5A">
        <w:rPr>
          <w:rFonts w:ascii="Georgia" w:hAnsi="Georgia"/>
          <w:b/>
          <w:bCs/>
          <w:u w:val="single"/>
        </w:rPr>
        <w:t xml:space="preserve">Section </w:t>
      </w:r>
      <w:proofErr w:type="gramStart"/>
      <w:r w:rsidRPr="007A6E5A">
        <w:rPr>
          <w:rFonts w:ascii="Georgia" w:hAnsi="Georgia"/>
          <w:b/>
          <w:bCs/>
          <w:u w:val="single"/>
        </w:rPr>
        <w:t>II</w:t>
      </w:r>
      <w:r w:rsidR="007C471C">
        <w:rPr>
          <w:rFonts w:ascii="Georgia" w:hAnsi="Georgia"/>
          <w:b/>
          <w:bCs/>
          <w:u w:val="single"/>
        </w:rPr>
        <w:t>I</w:t>
      </w:r>
      <w:r w:rsidRPr="007A6E5A">
        <w:rPr>
          <w:rFonts w:ascii="Georgia" w:hAnsi="Georgia"/>
          <w:b/>
          <w:bCs/>
          <w:u w:val="single"/>
        </w:rPr>
        <w:t xml:space="preserve"> :</w:t>
      </w:r>
      <w:proofErr w:type="gramEnd"/>
      <w:r w:rsidRPr="007A6E5A">
        <w:rPr>
          <w:rFonts w:ascii="Georgia" w:hAnsi="Georgia"/>
          <w:b/>
          <w:bCs/>
          <w:u w:val="single"/>
        </w:rPr>
        <w:t xml:space="preserve">  Elementary Statisti</w:t>
      </w:r>
      <w:r w:rsidR="002F5BED">
        <w:rPr>
          <w:rFonts w:ascii="Georgia" w:hAnsi="Georgia"/>
          <w:b/>
          <w:bCs/>
          <w:u w:val="single"/>
        </w:rPr>
        <w:t xml:space="preserve">cs for Economics </w:t>
      </w:r>
    </w:p>
    <w:p w:rsidR="00440E4D" w:rsidRPr="007A6E5A" w:rsidRDefault="00440E4D" w:rsidP="00440E4D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 xml:space="preserve">Measures of central tendency and dispersion- correlation, regression, Time-series analysis and index number </w:t>
      </w:r>
    </w:p>
    <w:p w:rsidR="00440E4D" w:rsidRPr="007A6E5A" w:rsidRDefault="00440E4D" w:rsidP="00440E4D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Theory of Probability, Sampling theory, Sampling Design and its application</w:t>
      </w:r>
    </w:p>
    <w:p w:rsidR="00440E4D" w:rsidRPr="007A6E5A" w:rsidRDefault="00440E4D" w:rsidP="00440E4D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7A6E5A">
        <w:rPr>
          <w:rFonts w:ascii="Georgia" w:hAnsi="Georgia"/>
        </w:rPr>
        <w:t>Statistical Inference and Estimation, Statistical Tools and their application in Economic Analysis and Input – Output Analysis.</w:t>
      </w:r>
    </w:p>
    <w:p w:rsidR="00440E4D" w:rsidRPr="00E03A50" w:rsidRDefault="00440E4D" w:rsidP="00440E4D">
      <w:pPr>
        <w:ind w:left="720"/>
        <w:jc w:val="both"/>
      </w:pPr>
    </w:p>
    <w:p w:rsidR="00E8004E" w:rsidRDefault="00E8004E" w:rsidP="00E8004E">
      <w:pPr>
        <w:spacing w:after="0"/>
        <w:jc w:val="center"/>
        <w:rPr>
          <w:rFonts w:ascii="Mangal" w:hAnsi="Mangal" w:cs="Mangal"/>
        </w:rPr>
      </w:pPr>
      <w:r w:rsidRPr="00E26E1D">
        <w:rPr>
          <w:noProof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5B9683BD" wp14:editId="3848D748">
            <wp:simplePos x="0" y="0"/>
            <wp:positionH relativeFrom="column">
              <wp:posOffset>2448000</wp:posOffset>
            </wp:positionH>
            <wp:positionV relativeFrom="paragraph">
              <wp:posOffset>64895</wp:posOffset>
            </wp:positionV>
            <wp:extent cx="760095" cy="837565"/>
            <wp:effectExtent l="0" t="0" r="0" b="635"/>
            <wp:wrapTight wrapText="bothSides">
              <wp:wrapPolygon edited="0">
                <wp:start x="7038" y="0"/>
                <wp:lineTo x="2165" y="3439"/>
                <wp:lineTo x="1083" y="4913"/>
                <wp:lineTo x="1083" y="11299"/>
                <wp:lineTo x="3248" y="15721"/>
                <wp:lineTo x="1083" y="18669"/>
                <wp:lineTo x="1083" y="21125"/>
                <wp:lineTo x="17323" y="21125"/>
                <wp:lineTo x="20030" y="20143"/>
                <wp:lineTo x="19489" y="18177"/>
                <wp:lineTo x="17865" y="15721"/>
                <wp:lineTo x="20571" y="10317"/>
                <wp:lineTo x="20571" y="5895"/>
                <wp:lineTo x="18947" y="3439"/>
                <wp:lineTo x="14075" y="0"/>
                <wp:lineTo x="703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04E" w:rsidRDefault="00E8004E" w:rsidP="00E8004E">
      <w:pPr>
        <w:spacing w:after="0"/>
        <w:jc w:val="center"/>
        <w:rPr>
          <w:rFonts w:ascii="Mangal" w:hAnsi="Mangal" w:cs="Mangal"/>
        </w:rPr>
      </w:pPr>
    </w:p>
    <w:p w:rsidR="00E8004E" w:rsidRDefault="00E8004E" w:rsidP="00E8004E">
      <w:pPr>
        <w:spacing w:after="0"/>
        <w:jc w:val="center"/>
        <w:rPr>
          <w:rFonts w:ascii="Mangal" w:hAnsi="Mangal" w:cs="Mangal"/>
        </w:rPr>
      </w:pPr>
    </w:p>
    <w:p w:rsidR="00E8004E" w:rsidRDefault="00E8004E" w:rsidP="00E8004E">
      <w:pPr>
        <w:spacing w:after="0"/>
        <w:jc w:val="center"/>
        <w:rPr>
          <w:rFonts w:ascii="Mangal" w:hAnsi="Mangal" w:cs="Mangal"/>
        </w:rPr>
      </w:pPr>
    </w:p>
    <w:p w:rsidR="005241B1" w:rsidRPr="007A6E5A" w:rsidRDefault="007A6E5A" w:rsidP="007A6E5A">
      <w:pPr>
        <w:tabs>
          <w:tab w:val="left" w:pos="2891"/>
          <w:tab w:val="center" w:pos="4513"/>
        </w:tabs>
        <w:spacing w:after="0"/>
        <w:rPr>
          <w:rFonts w:ascii="Utsaah" w:hAnsi="Utsaah" w:cs="Utsaah"/>
          <w:b/>
          <w:bCs/>
          <w:sz w:val="30"/>
          <w:szCs w:val="30"/>
        </w:rPr>
      </w:pPr>
      <w:r>
        <w:rPr>
          <w:rFonts w:ascii="Mangal" w:hAnsi="Mangal" w:cs="Mangal"/>
          <w:cs/>
        </w:rPr>
        <w:tab/>
      </w:r>
      <w:r w:rsidRPr="007A6E5A">
        <w:rPr>
          <w:rFonts w:ascii="Utsaah" w:hAnsi="Utsaah" w:cs="Utsaah"/>
          <w:b/>
          <w:bCs/>
          <w:sz w:val="30"/>
          <w:szCs w:val="30"/>
          <w:cs/>
        </w:rPr>
        <w:tab/>
      </w:r>
      <w:r w:rsidR="00F238FD" w:rsidRPr="007A6E5A">
        <w:rPr>
          <w:rFonts w:ascii="Utsaah" w:hAnsi="Utsaah" w:cs="Utsaah"/>
          <w:b/>
          <w:bCs/>
          <w:sz w:val="30"/>
          <w:szCs w:val="30"/>
          <w:cs/>
        </w:rPr>
        <w:t>राष्ट्रीय कृषि और ग्रामीण विकास बैंक</w:t>
      </w:r>
    </w:p>
    <w:p w:rsidR="00E8004E" w:rsidRPr="007A6E5A" w:rsidRDefault="00F238FD" w:rsidP="00E8004E">
      <w:pPr>
        <w:spacing w:after="0"/>
        <w:jc w:val="center"/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b/>
          <w:bCs/>
          <w:sz w:val="30"/>
          <w:szCs w:val="30"/>
        </w:rPr>
        <w:br/>
      </w:r>
      <w:r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 xml:space="preserve">सहायक प्रबंधक - ग्रेड </w:t>
      </w:r>
      <w:r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'</w:t>
      </w:r>
      <w:r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>ए</w:t>
      </w:r>
      <w:r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'</w:t>
      </w:r>
      <w:r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 xml:space="preserve"> – अधिकारी पद के लिए </w:t>
      </w:r>
      <w:r w:rsidR="00E8004E"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 xml:space="preserve">भर्ती हेतु </w:t>
      </w:r>
      <w:r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 xml:space="preserve">लिखित परीक्षा के लिए </w:t>
      </w:r>
      <w:r w:rsidR="00E8004E"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>पाठ्यक्रम</w:t>
      </w:r>
    </w:p>
    <w:p w:rsidR="00E8004E" w:rsidRPr="007A6E5A" w:rsidRDefault="00FF4A45" w:rsidP="00E8004E">
      <w:pPr>
        <w:spacing w:after="0"/>
        <w:jc w:val="center"/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</w:rPr>
      </w:pPr>
      <w:r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>अर्थशास्त्र</w:t>
      </w:r>
      <w:r w:rsidR="006E335C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</w:rPr>
        <w:t xml:space="preserve"> / </w:t>
      </w:r>
      <w:r w:rsidR="006E335C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>कृषि अर्थशास्त्र</w:t>
      </w:r>
    </w:p>
    <w:p w:rsidR="00E8004E" w:rsidRPr="007A6E5A" w:rsidRDefault="00F238FD" w:rsidP="00E8004E">
      <w:pPr>
        <w:spacing w:after="0"/>
        <w:jc w:val="center"/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(</w:t>
      </w:r>
      <w:r w:rsidR="00E8004E"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>यह पाठ्यक्रम केवल निदर्शी है</w:t>
      </w:r>
      <w:r w:rsidR="00E8004E"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,</w:t>
      </w:r>
      <w:r w:rsidR="00E8004E" w:rsidRPr="007A6E5A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 xml:space="preserve"> सम्पूर्ण नहीं)</w:t>
      </w:r>
    </w:p>
    <w:p w:rsidR="00E8004E" w:rsidRPr="007A6E5A" w:rsidRDefault="00E8004E" w:rsidP="00E8004E">
      <w:pPr>
        <w:spacing w:after="0"/>
        <w:jc w:val="center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</w:p>
    <w:p w:rsidR="00FF4A45" w:rsidRPr="007A6E5A" w:rsidRDefault="00FF4A45" w:rsidP="00E8004E">
      <w:pPr>
        <w:spacing w:after="0"/>
        <w:jc w:val="both"/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</w:rPr>
      </w:pPr>
      <w:r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 xml:space="preserve">भाग – </w:t>
      </w:r>
      <w:r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</w:rPr>
        <w:t>I</w:t>
      </w:r>
      <w:r w:rsidR="002F5BED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 xml:space="preserve"> : अर्थशास्त्र</w:t>
      </w:r>
    </w:p>
    <w:p w:rsidR="00FF4A45" w:rsidRPr="007A6E5A" w:rsidRDefault="00FF4A45" w:rsidP="00FF4A45">
      <w:pPr>
        <w:pStyle w:val="ListParagraph"/>
        <w:numPr>
          <w:ilvl w:val="0"/>
          <w:numId w:val="4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सूक्ष्म अर्थशास्त्र : उपभोक्ता व्यवहार का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फर्म</w:t>
      </w:r>
      <w:r w:rsidR="00AD3BD3"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का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बाज़ारों का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वितरण और सामान्य समीकरण का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.</w:t>
      </w:r>
    </w:p>
    <w:p w:rsidR="00FF4A45" w:rsidRPr="007A6E5A" w:rsidRDefault="00FF4A45" w:rsidP="00FF4A45">
      <w:pPr>
        <w:pStyle w:val="ListParagraph"/>
        <w:numPr>
          <w:ilvl w:val="0"/>
          <w:numId w:val="4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वृहद अर्थशास्त्र : राष्ट्रीय आय लेखांकन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वृहत आर्थिक स्थिरीकरण नीति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वित्तीय एवं मौद्रिक नीति – क्लासिकल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केनिसियन और मौनेटरिस्ट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विवेकपूर्ण अपेक्षाएं और आपूर्तिपरक आर्थिकी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सार्वजनिक वित्त – कराधान का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व्यय तथा उधार / ऋण</w:t>
      </w:r>
    </w:p>
    <w:p w:rsidR="00FF4A45" w:rsidRPr="007A6E5A" w:rsidRDefault="00FF4A45" w:rsidP="00FF4A45">
      <w:pPr>
        <w:pStyle w:val="ListParagraph"/>
        <w:numPr>
          <w:ilvl w:val="0"/>
          <w:numId w:val="4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विकास और आयोजना अर्थव्यवस्था : अभिवृद्धि और विकास का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क्षेत्रीय असंतुलन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आयोजना – आयोजना के प्रकार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माडल और मूल्यांकन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परियोजना अर्थशास्त्र एवं आर्थिक और वित्तीय क्षेत्र सुधार.</w:t>
      </w:r>
    </w:p>
    <w:p w:rsidR="00430D32" w:rsidRPr="007A6E5A" w:rsidRDefault="00430D32" w:rsidP="00FF4A45">
      <w:pPr>
        <w:pStyle w:val="ListParagraph"/>
        <w:numPr>
          <w:ilvl w:val="0"/>
          <w:numId w:val="4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अंतर्रराष्ट्रीय अर्थशास्त्र : व्यापार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विदेशी मुद्रा बाजार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भुगतान हेतु बकाया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अंतर्राष्ट्रीय मौद्रिक प्रणाली और विश्व व्यापार संगठन.</w:t>
      </w:r>
    </w:p>
    <w:p w:rsidR="00430D32" w:rsidRPr="007A6E5A" w:rsidRDefault="00430D32" w:rsidP="00430D32">
      <w:pPr>
        <w:spacing w:after="0"/>
        <w:ind w:left="36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</w:p>
    <w:p w:rsidR="00430D32" w:rsidRPr="007A6E5A" w:rsidRDefault="00430D32" w:rsidP="00744A50">
      <w:pPr>
        <w:spacing w:after="0"/>
        <w:jc w:val="both"/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</w:rPr>
      </w:pPr>
      <w:r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 xml:space="preserve">भाग </w:t>
      </w:r>
      <w:r w:rsidR="00744A50"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</w:rPr>
        <w:t>II</w:t>
      </w:r>
      <w:r w:rsidR="00744A50"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 xml:space="preserve"> </w:t>
      </w:r>
      <w:r w:rsidR="002F5BED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 xml:space="preserve">: कृषि अर्थशास्त्र </w:t>
      </w:r>
    </w:p>
    <w:p w:rsidR="00744A50" w:rsidRPr="007A6E5A" w:rsidRDefault="00744A50" w:rsidP="00430D32">
      <w:pPr>
        <w:pStyle w:val="ListParagraph"/>
        <w:numPr>
          <w:ilvl w:val="0"/>
          <w:numId w:val="5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कृषि प्रबंध के आधारभूत सिद्धांत</w:t>
      </w:r>
    </w:p>
    <w:p w:rsidR="00744A50" w:rsidRPr="007A6E5A" w:rsidRDefault="00744A50" w:rsidP="00430D32">
      <w:pPr>
        <w:pStyle w:val="ListParagraph"/>
        <w:numPr>
          <w:ilvl w:val="0"/>
          <w:numId w:val="5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आर्थिक विकास में कृषि की भूमिका</w:t>
      </w:r>
    </w:p>
    <w:p w:rsidR="00744A50" w:rsidRPr="007A6E5A" w:rsidRDefault="00744A50" w:rsidP="00430D32">
      <w:pPr>
        <w:pStyle w:val="ListParagraph"/>
        <w:numPr>
          <w:ilvl w:val="0"/>
          <w:numId w:val="5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घटक बाजार – भूमि बाजार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मजदूरी और पूंजी सहित श्रमिक बाजार </w:t>
      </w:r>
    </w:p>
    <w:p w:rsidR="00744A50" w:rsidRPr="007A6E5A" w:rsidRDefault="00744A50" w:rsidP="00430D32">
      <w:pPr>
        <w:pStyle w:val="ListParagraph"/>
        <w:numPr>
          <w:ilvl w:val="0"/>
          <w:numId w:val="5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कृषि विपणन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कृषि मूल्य और व्यापार शर्ते </w:t>
      </w:r>
    </w:p>
    <w:p w:rsidR="00744A50" w:rsidRPr="007A6E5A" w:rsidRDefault="00744A50" w:rsidP="00430D32">
      <w:pPr>
        <w:pStyle w:val="ListParagraph"/>
        <w:numPr>
          <w:ilvl w:val="0"/>
          <w:numId w:val="5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ग्रामीण ऋण ढांचा – कृषि में औपचारिक और अनौपचारिक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पूंजी निर्माण</w:t>
      </w:r>
    </w:p>
    <w:p w:rsidR="00744A50" w:rsidRPr="007A6E5A" w:rsidRDefault="00744A50" w:rsidP="00430D32">
      <w:pPr>
        <w:pStyle w:val="ListParagraph"/>
        <w:numPr>
          <w:ilvl w:val="0"/>
          <w:numId w:val="5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कृषि नीति और आयोजन</w:t>
      </w:r>
    </w:p>
    <w:p w:rsidR="00F238FD" w:rsidRPr="007A6E5A" w:rsidRDefault="00F238FD" w:rsidP="00E8004E">
      <w:pPr>
        <w:spacing w:after="0"/>
        <w:jc w:val="both"/>
        <w:rPr>
          <w:rFonts w:ascii="Utsaah" w:hAnsi="Utsaah" w:cs="Utsaah"/>
          <w:sz w:val="30"/>
          <w:szCs w:val="30"/>
        </w:rPr>
      </w:pPr>
    </w:p>
    <w:p w:rsidR="00744A50" w:rsidRPr="007A6E5A" w:rsidRDefault="00744A50" w:rsidP="00744A50">
      <w:pPr>
        <w:spacing w:after="0"/>
        <w:jc w:val="both"/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</w:rPr>
      </w:pPr>
      <w:r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 xml:space="preserve">भाग </w:t>
      </w:r>
      <w:r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</w:rPr>
        <w:t>III</w:t>
      </w:r>
      <w:r w:rsidRPr="007A6E5A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 xml:space="preserve"> : अर्थशास्त्रियों </w:t>
      </w:r>
      <w:r w:rsidR="002F5BED">
        <w:rPr>
          <w:rFonts w:ascii="Utsaah" w:hAnsi="Utsaah" w:cs="Utsaah"/>
          <w:b/>
          <w:bCs/>
          <w:color w:val="212121"/>
          <w:sz w:val="30"/>
          <w:szCs w:val="30"/>
          <w:u w:val="single"/>
          <w:shd w:val="clear" w:color="auto" w:fill="FFFFFF"/>
          <w:cs/>
        </w:rPr>
        <w:t xml:space="preserve">के लिए प्रारंभिक आंकड़े </w:t>
      </w:r>
    </w:p>
    <w:p w:rsidR="00744A50" w:rsidRPr="007A6E5A" w:rsidRDefault="00744A50" w:rsidP="00744A50">
      <w:pPr>
        <w:pStyle w:val="ListParagraph"/>
        <w:numPr>
          <w:ilvl w:val="0"/>
          <w:numId w:val="6"/>
        </w:numPr>
        <w:spacing w:after="0"/>
        <w:jc w:val="both"/>
        <w:rPr>
          <w:rFonts w:ascii="Utsaah" w:hAnsi="Utsaah" w:cs="Utsaah"/>
          <w:color w:val="212121"/>
          <w:sz w:val="30"/>
          <w:szCs w:val="30"/>
          <w:shd w:val="clear" w:color="auto" w:fill="FFFFFF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केन्द्रीय प्रवृत्ति और विखंडन के उपाय -  सहसंबंध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अवरोहण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टाइम – सीरीज विश्लेषण और सूचकांक </w:t>
      </w:r>
    </w:p>
    <w:p w:rsidR="00744A50" w:rsidRPr="007A6E5A" w:rsidRDefault="00744A50" w:rsidP="00660E0A">
      <w:pPr>
        <w:pStyle w:val="ListParagraph"/>
        <w:numPr>
          <w:ilvl w:val="0"/>
          <w:numId w:val="6"/>
        </w:numPr>
        <w:spacing w:after="0"/>
        <w:jc w:val="both"/>
        <w:rPr>
          <w:rFonts w:ascii="Utsaah" w:hAnsi="Utsaah" w:cs="Utsaah"/>
          <w:sz w:val="30"/>
          <w:szCs w:val="30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संभावना का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सैंम्पलिंग का सिद्धांत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सैंम्पलिंग का डिज़ाइन और इसका प्रयोज्यता </w:t>
      </w:r>
    </w:p>
    <w:p w:rsidR="00EE14B6" w:rsidRPr="00C627A7" w:rsidRDefault="00744A50" w:rsidP="00C627A7">
      <w:pPr>
        <w:pStyle w:val="ListParagraph"/>
        <w:numPr>
          <w:ilvl w:val="0"/>
          <w:numId w:val="6"/>
        </w:numPr>
        <w:spacing w:after="0"/>
        <w:jc w:val="both"/>
        <w:rPr>
          <w:rFonts w:ascii="Utsaah" w:hAnsi="Utsaah" w:cs="Utsaah"/>
          <w:sz w:val="30"/>
          <w:szCs w:val="30"/>
        </w:rPr>
      </w:pP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>सांख्यिकी उपलक्ष्य और अनुमान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</w:rPr>
        <w:t>,</w:t>
      </w:r>
      <w:r w:rsidRPr="007A6E5A">
        <w:rPr>
          <w:rFonts w:ascii="Utsaah" w:hAnsi="Utsaah" w:cs="Utsaah"/>
          <w:color w:val="212121"/>
          <w:sz w:val="30"/>
          <w:szCs w:val="30"/>
          <w:shd w:val="clear" w:color="auto" w:fill="FFFFFF"/>
          <w:cs/>
        </w:rPr>
        <w:t xml:space="preserve"> सांख्यिकी साधन और आर्थिक विश्लेषण तथा आवक-जावक विश्लेषण में इनकी प्रयोज्यता. </w:t>
      </w:r>
    </w:p>
    <w:sectPr w:rsidR="00EE14B6" w:rsidRPr="00C627A7" w:rsidSect="00D93A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3BC2"/>
    <w:multiLevelType w:val="hybridMultilevel"/>
    <w:tmpl w:val="F640A3EC"/>
    <w:lvl w:ilvl="0" w:tplc="1FCC3E5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F47"/>
    <w:multiLevelType w:val="hybridMultilevel"/>
    <w:tmpl w:val="7CD6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130C"/>
    <w:multiLevelType w:val="hybridMultilevel"/>
    <w:tmpl w:val="B6705C22"/>
    <w:lvl w:ilvl="0" w:tplc="097AFFB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20FBA"/>
    <w:multiLevelType w:val="hybridMultilevel"/>
    <w:tmpl w:val="01625372"/>
    <w:lvl w:ilvl="0" w:tplc="097AFFB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E15D94"/>
    <w:multiLevelType w:val="hybridMultilevel"/>
    <w:tmpl w:val="6B426222"/>
    <w:lvl w:ilvl="0" w:tplc="097AFF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D1075"/>
    <w:multiLevelType w:val="hybridMultilevel"/>
    <w:tmpl w:val="06F8B4B8"/>
    <w:lvl w:ilvl="0" w:tplc="7E2CE2E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05"/>
    <w:rsid w:val="001B06ED"/>
    <w:rsid w:val="001E5EE9"/>
    <w:rsid w:val="002025BE"/>
    <w:rsid w:val="00230FA9"/>
    <w:rsid w:val="00263258"/>
    <w:rsid w:val="00291C10"/>
    <w:rsid w:val="002A084E"/>
    <w:rsid w:val="002D27F3"/>
    <w:rsid w:val="002F5BED"/>
    <w:rsid w:val="00327D5F"/>
    <w:rsid w:val="0039082C"/>
    <w:rsid w:val="00396459"/>
    <w:rsid w:val="003A3AF9"/>
    <w:rsid w:val="00430D32"/>
    <w:rsid w:val="00440E4D"/>
    <w:rsid w:val="005241B1"/>
    <w:rsid w:val="00634AF7"/>
    <w:rsid w:val="00665010"/>
    <w:rsid w:val="006811D5"/>
    <w:rsid w:val="006B36E8"/>
    <w:rsid w:val="006E335C"/>
    <w:rsid w:val="00744A50"/>
    <w:rsid w:val="007A122B"/>
    <w:rsid w:val="007A6E5A"/>
    <w:rsid w:val="007C471C"/>
    <w:rsid w:val="00876041"/>
    <w:rsid w:val="00927D5D"/>
    <w:rsid w:val="009737DD"/>
    <w:rsid w:val="009B050C"/>
    <w:rsid w:val="009F24E8"/>
    <w:rsid w:val="00A40E05"/>
    <w:rsid w:val="00AD3BD3"/>
    <w:rsid w:val="00B00CDA"/>
    <w:rsid w:val="00B3485D"/>
    <w:rsid w:val="00BF48AB"/>
    <w:rsid w:val="00C627A7"/>
    <w:rsid w:val="00C730A1"/>
    <w:rsid w:val="00CC04E7"/>
    <w:rsid w:val="00D22863"/>
    <w:rsid w:val="00D93A33"/>
    <w:rsid w:val="00DE141C"/>
    <w:rsid w:val="00DF40DE"/>
    <w:rsid w:val="00E03A50"/>
    <w:rsid w:val="00E8004E"/>
    <w:rsid w:val="00EA54C4"/>
    <w:rsid w:val="00EE14B6"/>
    <w:rsid w:val="00F238FD"/>
    <w:rsid w:val="00F61616"/>
    <w:rsid w:val="00F816E1"/>
    <w:rsid w:val="00FC57B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A46FD-A671-4E58-AC76-9DBFCD9D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6E5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5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S Ramdharne</dc:creator>
  <cp:keywords/>
  <dc:description/>
  <cp:lastModifiedBy>A M Padhye</cp:lastModifiedBy>
  <cp:revision>12</cp:revision>
  <cp:lastPrinted>2019-12-20T04:11:00Z</cp:lastPrinted>
  <dcterms:created xsi:type="dcterms:W3CDTF">2017-03-23T06:57:00Z</dcterms:created>
  <dcterms:modified xsi:type="dcterms:W3CDTF">2019-12-20T04:11:00Z</dcterms:modified>
</cp:coreProperties>
</file>